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EA" w:rsidRDefault="00AF4773" w:rsidP="00843E69">
      <w:pPr>
        <w:spacing w:after="0" w:line="240" w:lineRule="auto"/>
        <w:rPr>
          <w:rStyle w:val="Uwydatnienie"/>
          <w:rFonts w:ascii="Calibri" w:hAnsi="Calibri" w:cs="Times New Roman"/>
          <w:i w:val="0"/>
          <w:sz w:val="24"/>
          <w:szCs w:val="24"/>
        </w:rPr>
      </w:pPr>
      <w:r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Dlaczego PGNiG </w:t>
      </w:r>
      <w:r w:rsidR="00686D14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Narodowy Czempion </w:t>
      </w:r>
      <w:r>
        <w:rPr>
          <w:rStyle w:val="Uwydatnienie"/>
          <w:rFonts w:ascii="Calibri" w:hAnsi="Calibri" w:cs="Times New Roman"/>
          <w:i w:val="0"/>
          <w:sz w:val="24"/>
          <w:szCs w:val="24"/>
        </w:rPr>
        <w:t>nie inwestuje w amerykańskie złoża?</w:t>
      </w:r>
    </w:p>
    <w:p w:rsidR="00AF4773" w:rsidRPr="00843E69" w:rsidRDefault="00AF4773" w:rsidP="00843E69">
      <w:pPr>
        <w:spacing w:after="0" w:line="240" w:lineRule="auto"/>
        <w:rPr>
          <w:rStyle w:val="Uwydatnienie"/>
          <w:rFonts w:ascii="Calibri" w:hAnsi="Calibri" w:cs="Times New Roman"/>
          <w:i w:val="0"/>
          <w:sz w:val="24"/>
          <w:szCs w:val="24"/>
        </w:rPr>
      </w:pPr>
    </w:p>
    <w:p w:rsidR="00FE1869" w:rsidRPr="00843E69" w:rsidRDefault="00A35598" w:rsidP="00843E69">
      <w:pPr>
        <w:spacing w:after="0" w:line="240" w:lineRule="auto"/>
        <w:rPr>
          <w:rStyle w:val="Uwydatnienie"/>
          <w:rFonts w:ascii="Calibri" w:hAnsi="Calibri" w:cs="Times New Roman"/>
          <w:i w:val="0"/>
          <w:sz w:val="24"/>
          <w:szCs w:val="24"/>
        </w:rPr>
      </w:pP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Andrzej Sikora, Mateusz Sikora,  Instytut Studiów Energetycznych Sp. z o.o.</w:t>
      </w:r>
    </w:p>
    <w:p w:rsidR="00987F0A" w:rsidRPr="00843E69" w:rsidRDefault="00987F0A" w:rsidP="00843E69">
      <w:pPr>
        <w:spacing w:after="0" w:line="240" w:lineRule="auto"/>
        <w:rPr>
          <w:rStyle w:val="Uwydatnienie"/>
          <w:rFonts w:ascii="Calibri" w:hAnsi="Calibri" w:cs="Times New Roman"/>
          <w:i w:val="0"/>
          <w:sz w:val="24"/>
          <w:szCs w:val="24"/>
        </w:rPr>
      </w:pPr>
    </w:p>
    <w:p w:rsidR="00DA1A80" w:rsidRPr="00843E69" w:rsidRDefault="00987F0A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4"/>
          <w:szCs w:val="24"/>
        </w:rPr>
      </w:pP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Na początku ubiegłego roku stawialiśmy tezę, że 2016 rok może okazać się rokiem fuzji i przejęć (</w:t>
      </w:r>
      <w:proofErr w:type="spellStart"/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Mergers</w:t>
      </w:r>
      <w:proofErr w:type="spellEnd"/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and </w:t>
      </w:r>
      <w:proofErr w:type="spellStart"/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Acquisitions</w:t>
      </w:r>
      <w:proofErr w:type="spellEnd"/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M&amp;A) w sektorze </w:t>
      </w:r>
      <w:proofErr w:type="spellStart"/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Oil&amp;Gas</w:t>
      </w:r>
      <w:proofErr w:type="spellEnd"/>
      <w:r w:rsidRPr="00843E69">
        <w:rPr>
          <w:rStyle w:val="Odwoanieprzypisudolnego"/>
          <w:rFonts w:ascii="Calibri" w:hAnsi="Calibri" w:cs="Times New Roman"/>
          <w:iCs/>
          <w:sz w:val="24"/>
          <w:szCs w:val="24"/>
        </w:rPr>
        <w:footnoteReference w:id="1"/>
      </w:r>
      <w:r w:rsidR="00AF4773">
        <w:rPr>
          <w:rStyle w:val="Uwydatnienie"/>
          <w:rFonts w:ascii="Calibri" w:hAnsi="Calibri" w:cs="Times New Roman"/>
          <w:i w:val="0"/>
          <w:sz w:val="24"/>
          <w:szCs w:val="24"/>
        </w:rPr>
        <w:t>.  U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biegły rok okazały się</w:t>
      </w:r>
      <w:r w:rsidR="00DA1A80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nieznacznie lepszy</w:t>
      </w:r>
      <w:r w:rsidR="00AF4773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od naszych przewidywań</w:t>
      </w:r>
      <w:r w:rsidR="00DA1A80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, a wyniki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</w:t>
      </w:r>
      <w:r w:rsidR="00DA1A80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wręcz porównywalne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do 2015</w:t>
      </w:r>
      <w:r w:rsidR="00DA1A80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r</w:t>
      </w:r>
      <w:r w:rsidR="00843E69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.</w:t>
      </w:r>
      <w:r w:rsidR="00DA1A80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Na terenie Stanów Zjednoczonych Ameryki Północnej odnotowano 237 fuzji i przejęć (wzrost o 7) o łącznej wartości ok. 65 mld dol. Na arenie światowej, odnotowano natomiast 674 fuzji i przejęć</w:t>
      </w:r>
      <w:r w:rsidR="00237774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o łącznej wartości 119 </w:t>
      </w:r>
      <w:r w:rsidR="00DA1A80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mld dol. Warto podkreślić, że w 2015 r</w:t>
      </w:r>
      <w:r w:rsidR="00843E69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.</w:t>
      </w:r>
      <w:r w:rsidR="00DA1A80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wartość </w:t>
      </w:r>
      <w:r w:rsidR="00AF4773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ta </w:t>
      </w:r>
      <w:r w:rsidR="00DA1A80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wyniosła prawie dwa razy więcej bo ok. 270 mld dol. </w:t>
      </w:r>
      <w:r w:rsidR="00AF4773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W 2016 roku było tanio! </w:t>
      </w:r>
    </w:p>
    <w:p w:rsidR="00343C64" w:rsidRPr="00843E69" w:rsidRDefault="00343C64" w:rsidP="00843E69">
      <w:pPr>
        <w:spacing w:after="0" w:line="240" w:lineRule="auto"/>
        <w:rPr>
          <w:rStyle w:val="Uwydatnienie"/>
          <w:rFonts w:ascii="Calibri" w:hAnsi="Calibri" w:cs="Times New Roman"/>
          <w:i w:val="0"/>
          <w:sz w:val="24"/>
          <w:szCs w:val="24"/>
        </w:rPr>
      </w:pPr>
    </w:p>
    <w:tbl>
      <w:tblPr>
        <w:tblStyle w:val="GridTableLight"/>
        <w:tblW w:w="8196" w:type="dxa"/>
        <w:jc w:val="center"/>
        <w:tblLook w:val="04A0" w:firstRow="1" w:lastRow="0" w:firstColumn="1" w:lastColumn="0" w:noHBand="0" w:noVBand="1"/>
      </w:tblPr>
      <w:tblGrid>
        <w:gridCol w:w="1579"/>
        <w:gridCol w:w="2781"/>
        <w:gridCol w:w="749"/>
        <w:gridCol w:w="2201"/>
        <w:gridCol w:w="886"/>
      </w:tblGrid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0" w:type="dxa"/>
            <w:gridSpan w:val="2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US </w:t>
            </w:r>
            <w:proofErr w:type="spellStart"/>
            <w:r w:rsidRPr="00343C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Targeted</w:t>
            </w:r>
            <w:proofErr w:type="spellEnd"/>
          </w:p>
        </w:tc>
        <w:tc>
          <w:tcPr>
            <w:tcW w:w="3087" w:type="dxa"/>
            <w:gridSpan w:val="2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Global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43C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Year</w:t>
            </w:r>
            <w:proofErr w:type="spellEnd"/>
            <w:r w:rsidRPr="00343C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-To-</w:t>
            </w:r>
            <w:proofErr w:type="spellStart"/>
            <w:r w:rsidRPr="00343C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Date</w:t>
            </w:r>
            <w:proofErr w:type="spellEnd"/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Deal Value $m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No.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Deal Value $m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No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1995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7,172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12,301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166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1996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8,427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20,2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177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1997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26,381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268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35,435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353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1998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97,571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273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111,608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406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1999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56,749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160,721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413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66,733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101,732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431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48,901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86,904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463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16,744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51,73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451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14,792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43,538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453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37,341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65,302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586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58,697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107,871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725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86,995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294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146,629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877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76,045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299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205,813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895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44,96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150,981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1,145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22,989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119,508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890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92,126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353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182,915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1,103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93,678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181,217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1,263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84,664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365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197,602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1,176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58,298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127,881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941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92,11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362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170,989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1,027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64,285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207,302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670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65,329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119,79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674</w:t>
            </w:r>
          </w:p>
        </w:tc>
      </w:tr>
      <w:tr w:rsidR="00343C64" w:rsidRPr="00343C64" w:rsidTr="00343C64">
        <w:trPr>
          <w:trHeight w:val="252"/>
          <w:jc w:val="center"/>
        </w:trPr>
        <w:tc>
          <w:tcPr>
            <w:tcW w:w="157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278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113,909</w:t>
            </w:r>
          </w:p>
        </w:tc>
        <w:tc>
          <w:tcPr>
            <w:tcW w:w="749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2201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194,886</w:t>
            </w:r>
          </w:p>
        </w:tc>
        <w:tc>
          <w:tcPr>
            <w:tcW w:w="886" w:type="dxa"/>
            <w:noWrap/>
            <w:hideMark/>
          </w:tcPr>
          <w:p w:rsidR="00343C64" w:rsidRPr="00343C64" w:rsidRDefault="00343C64" w:rsidP="00843E6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43C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611</w:t>
            </w:r>
          </w:p>
        </w:tc>
      </w:tr>
    </w:tbl>
    <w:p w:rsidR="00A35598" w:rsidRPr="00843E69" w:rsidRDefault="00B24615" w:rsidP="00843E69">
      <w:pPr>
        <w:spacing w:after="0" w:line="240" w:lineRule="auto"/>
        <w:rPr>
          <w:rStyle w:val="Uwydatnienie"/>
          <w:rFonts w:ascii="Calibri" w:hAnsi="Calibri" w:cs="Times New Roman"/>
          <w:i w:val="0"/>
          <w:sz w:val="24"/>
          <w:szCs w:val="24"/>
        </w:rPr>
      </w:pPr>
      <w:r w:rsidRPr="00843E69">
        <w:rPr>
          <w:rStyle w:val="Uwydatnienie"/>
          <w:rFonts w:ascii="Calibri" w:hAnsi="Calibri" w:cs="Times New Roman"/>
          <w:b/>
          <w:i w:val="0"/>
          <w:sz w:val="24"/>
          <w:szCs w:val="24"/>
        </w:rPr>
        <w:t>Tabela 1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Zestawienie transakcji M&amp;W sektorze </w:t>
      </w:r>
      <w:proofErr w:type="spellStart"/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Oil&amp;Gas</w:t>
      </w:r>
      <w:proofErr w:type="spellEnd"/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, Opracowanie: Instytut Studiów Energetycznych; Źródło: Financial Times</w:t>
      </w:r>
    </w:p>
    <w:p w:rsidR="00FE1869" w:rsidRPr="00843E69" w:rsidRDefault="00FE1869" w:rsidP="00843E69">
      <w:pPr>
        <w:spacing w:after="0" w:line="240" w:lineRule="auto"/>
        <w:rPr>
          <w:rStyle w:val="Uwydatnienie"/>
          <w:rFonts w:ascii="Calibri" w:hAnsi="Calibri" w:cs="Times New Roman"/>
          <w:i w:val="0"/>
          <w:sz w:val="24"/>
          <w:szCs w:val="24"/>
        </w:rPr>
      </w:pPr>
    </w:p>
    <w:p w:rsidR="002831EA" w:rsidRPr="00843E69" w:rsidRDefault="00237774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</w:pP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Pokazuje to</w:t>
      </w:r>
      <w:r w:rsidR="00686D14">
        <w:rPr>
          <w:rStyle w:val="Uwydatnienie"/>
          <w:rFonts w:ascii="Calibri" w:hAnsi="Calibri" w:cs="Times New Roman"/>
          <w:i w:val="0"/>
          <w:sz w:val="24"/>
          <w:szCs w:val="24"/>
        </w:rPr>
        <w:t>, po pierwsze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jak bardzo</w:t>
      </w:r>
      <w:r w:rsidR="00686D14">
        <w:rPr>
          <w:rStyle w:val="Uwydatnienie"/>
          <w:rFonts w:ascii="Calibri" w:hAnsi="Calibri" w:cs="Times New Roman"/>
          <w:i w:val="0"/>
          <w:sz w:val="24"/>
          <w:szCs w:val="24"/>
        </w:rPr>
        <w:t>,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w ciągu zaledwie roku, inwestorzy stracili zaufanie d</w:t>
      </w:r>
      <w:r w:rsidR="00FD6127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o poszczególnych projektów i przede wszystkim 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do wartości przejmowanych (często upadających) aktywów.</w:t>
      </w:r>
      <w:r w:rsidR="00AF4773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Na polski – kupowali za drogo! Była to bańka inwestycyjna, która pękła w 2016 roku.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Po drugie, miał miejsce prognozowany przez nas trend, 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polegający 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na 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lastRenderedPageBreak/>
        <w:t>upad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>łościach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</w:t>
      </w:r>
      <w:r w:rsidRPr="00843E69">
        <w:rPr>
          <w:rFonts w:ascii="Calibri" w:hAnsi="Calibri" w:cs="Times New Roman"/>
          <w:sz w:val="24"/>
          <w:szCs w:val="24"/>
        </w:rPr>
        <w:t>małych i średnich firm (głównie w Stanach Zjednoczonych)</w:t>
      </w:r>
      <w:r w:rsidR="00103B67">
        <w:rPr>
          <w:rFonts w:ascii="Calibri" w:hAnsi="Calibri" w:cs="Times New Roman"/>
          <w:sz w:val="24"/>
          <w:szCs w:val="24"/>
        </w:rPr>
        <w:t>, na którym</w:t>
      </w:r>
      <w:r w:rsidRPr="00843E69">
        <w:rPr>
          <w:rFonts w:ascii="Calibri" w:hAnsi="Calibri" w:cs="Times New Roman"/>
          <w:sz w:val="24"/>
          <w:szCs w:val="24"/>
        </w:rPr>
        <w:t xml:space="preserve"> skorzystali </w:t>
      </w:r>
      <w:r w:rsidR="00AF4773">
        <w:rPr>
          <w:rFonts w:ascii="Calibri" w:hAnsi="Calibri" w:cs="Times New Roman"/>
          <w:sz w:val="24"/>
          <w:szCs w:val="24"/>
        </w:rPr>
        <w:t xml:space="preserve">najwięksi, ci najlepiej przygotowani - </w:t>
      </w:r>
      <w:r w:rsidR="00FD6127" w:rsidRPr="00843E69">
        <w:rPr>
          <w:rFonts w:ascii="Calibri" w:hAnsi="Calibri" w:cs="Times New Roman"/>
          <w:sz w:val="24"/>
          <w:szCs w:val="24"/>
        </w:rPr>
        <w:t xml:space="preserve">w szczególności duzi, mocni, </w:t>
      </w:r>
      <w:r w:rsidRPr="00843E69">
        <w:rPr>
          <w:rFonts w:ascii="Calibri" w:hAnsi="Calibri" w:cs="Times New Roman"/>
          <w:sz w:val="24"/>
          <w:szCs w:val="24"/>
        </w:rPr>
        <w:t>gracze. Potwierdzają to publikowane dane (Tabela 1)</w:t>
      </w:r>
      <w:r w:rsidR="00843E69" w:rsidRPr="00843E69">
        <w:rPr>
          <w:rFonts w:ascii="Calibri" w:hAnsi="Calibri" w:cs="Times New Roman"/>
          <w:sz w:val="24"/>
          <w:szCs w:val="24"/>
        </w:rPr>
        <w:t>. Po 8 miesiącach 2017 r.</w:t>
      </w:r>
      <w:r w:rsidRPr="00843E69">
        <w:rPr>
          <w:rFonts w:ascii="Calibri" w:hAnsi="Calibri" w:cs="Times New Roman"/>
          <w:sz w:val="24"/>
          <w:szCs w:val="24"/>
        </w:rPr>
        <w:t>, na t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erenie Stanów Zjednoczonych Ameryki Północnej już odnotowano 250 fuzji i przejęć o łącznej wartości ok. </w:t>
      </w:r>
      <w:r w:rsidR="002831EA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113 mld dol. 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Natomiast na arenie światowej, w tym samym okresie odnotowano 611 fuzji i przejęć o łącznej wartości 194 mld dol. </w:t>
      </w:r>
      <w:r w:rsidR="002831EA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A, że nie jest to koniec roku dla M&amp;A w sektorze </w:t>
      </w:r>
      <w:proofErr w:type="spellStart"/>
      <w:r w:rsidR="002831EA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Oil&amp;Gas</w:t>
      </w:r>
      <w:proofErr w:type="spellEnd"/>
      <w:r w:rsidR="002831EA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mogą świadczyć nowe informacje. Wynika z nich, że </w:t>
      </w:r>
      <w:r w:rsidR="00FD6127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jeden z </w:t>
      </w:r>
      <w:r w:rsidR="002831EA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największych na świecie koncern</w:t>
      </w:r>
      <w:r w:rsidR="00FD6127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ów </w:t>
      </w:r>
      <w:r w:rsidR="002831EA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wydobywczy</w:t>
      </w:r>
      <w:r w:rsidR="00FD6127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ch</w:t>
      </w:r>
      <w:r w:rsidR="002831EA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BHP </w:t>
      </w:r>
      <w:proofErr w:type="spellStart"/>
      <w:r w:rsidR="002831EA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Billiton</w:t>
      </w:r>
      <w:proofErr w:type="spellEnd"/>
      <w:r w:rsidR="002831EA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, który sam powstał </w:t>
      </w:r>
      <w:r w:rsidR="00FD6127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w wyniku</w:t>
      </w:r>
      <w:r w:rsidR="002831EA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fuzji </w:t>
      </w:r>
      <w:r w:rsidR="00AF4773">
        <w:rPr>
          <w:rStyle w:val="Uwydatnienie"/>
          <w:rFonts w:ascii="Calibri" w:hAnsi="Calibri" w:cs="Times New Roman"/>
          <w:i w:val="0"/>
          <w:sz w:val="24"/>
          <w:szCs w:val="24"/>
        </w:rPr>
        <w:t>po</w:t>
      </w:r>
      <w:r w:rsidR="002831EA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między a</w:t>
      </w:r>
      <w:r w:rsidR="00AF4773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 xml:space="preserve">ustralijską </w:t>
      </w:r>
      <w:proofErr w:type="spellStart"/>
      <w:r w:rsidR="002831EA" w:rsidRPr="00843E69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>B</w:t>
      </w:r>
      <w:r w:rsidR="00AF4773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>roken</w:t>
      </w:r>
      <w:proofErr w:type="spellEnd"/>
      <w:r w:rsidR="00AF4773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 xml:space="preserve"> Hill </w:t>
      </w:r>
      <w:proofErr w:type="spellStart"/>
      <w:r w:rsidR="00AF4773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>Proprietary</w:t>
      </w:r>
      <w:proofErr w:type="spellEnd"/>
      <w:r w:rsidR="00AF4773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 xml:space="preserve"> Company a</w:t>
      </w:r>
      <w:r w:rsidR="002831EA" w:rsidRPr="00843E69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 xml:space="preserve"> br</w:t>
      </w:r>
      <w:r w:rsidR="00843E69" w:rsidRPr="00843E69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 xml:space="preserve">ytyjską </w:t>
      </w:r>
      <w:proofErr w:type="spellStart"/>
      <w:r w:rsidR="00843E69" w:rsidRPr="00843E69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>Billiton</w:t>
      </w:r>
      <w:proofErr w:type="spellEnd"/>
      <w:r w:rsidR="00843E69" w:rsidRPr="00843E69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 xml:space="preserve"> 16 maja 2001 r.</w:t>
      </w:r>
      <w:r w:rsidR="002831EA" w:rsidRPr="00843E69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 xml:space="preserve">, najprawdopodobniej </w:t>
      </w:r>
      <w:r w:rsidR="00AF4773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 xml:space="preserve">chce wycofać się z wydobycia z </w:t>
      </w:r>
      <w:r w:rsidR="002831EA" w:rsidRPr="00843E69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>niekonwencjonalnych złóż na terenie Stanów Zjednoczonych</w:t>
      </w:r>
      <w:r w:rsidR="00686D14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>.</w:t>
      </w:r>
      <w:r w:rsidR="002831EA" w:rsidRPr="00843E69">
        <w:rPr>
          <w:rStyle w:val="Odwoanieprzypisudolnego"/>
          <w:rFonts w:ascii="Calibri" w:hAnsi="Calibri" w:cs="Times New Roman"/>
          <w:sz w:val="24"/>
          <w:szCs w:val="24"/>
        </w:rPr>
        <w:footnoteReference w:id="2"/>
      </w:r>
      <w:r w:rsidR="002831EA" w:rsidRPr="00843E69">
        <w:rPr>
          <w:rStyle w:val="Uwydatnienie"/>
          <w:rFonts w:ascii="Calibri" w:hAnsi="Calibri" w:cs="Times New Roman"/>
          <w:i w:val="0"/>
          <w:iCs w:val="0"/>
          <w:sz w:val="24"/>
          <w:szCs w:val="24"/>
        </w:rPr>
        <w:t xml:space="preserve"> </w:t>
      </w:r>
    </w:p>
    <w:p w:rsidR="00237774" w:rsidRPr="00843E69" w:rsidRDefault="00237774" w:rsidP="00843E69">
      <w:pPr>
        <w:spacing w:after="0" w:line="240" w:lineRule="auto"/>
        <w:rPr>
          <w:rStyle w:val="Uwydatnienie"/>
          <w:rFonts w:ascii="Calibri" w:hAnsi="Calibri" w:cs="Times New Roman"/>
          <w:i w:val="0"/>
          <w:sz w:val="24"/>
          <w:szCs w:val="24"/>
        </w:rPr>
      </w:pPr>
    </w:p>
    <w:p w:rsidR="00987F0A" w:rsidRPr="00843E69" w:rsidRDefault="00987F0A" w:rsidP="00843E69">
      <w:pPr>
        <w:spacing w:after="0" w:line="240" w:lineRule="auto"/>
        <w:rPr>
          <w:rStyle w:val="Uwydatnienie"/>
          <w:rFonts w:ascii="Calibri" w:hAnsi="Calibri" w:cs="Times New Roman"/>
          <w:i w:val="0"/>
          <w:sz w:val="24"/>
          <w:szCs w:val="24"/>
        </w:rPr>
      </w:pPr>
      <w:r w:rsidRPr="00843E69">
        <w:rPr>
          <w:rStyle w:val="Uwydatnienie"/>
          <w:rFonts w:ascii="Calibri" w:hAnsi="Calibri" w:cs="Times New Roman"/>
          <w:i w:val="0"/>
          <w:noProof/>
          <w:sz w:val="24"/>
          <w:szCs w:val="24"/>
          <w:lang w:eastAsia="pl-PL"/>
        </w:rPr>
        <w:drawing>
          <wp:inline distT="0" distB="0" distL="0" distR="0" wp14:anchorId="0E895394">
            <wp:extent cx="5816600" cy="3804167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240" cy="3809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598" w:rsidRPr="00843E69" w:rsidRDefault="00FE1869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4"/>
          <w:szCs w:val="24"/>
        </w:rPr>
      </w:pPr>
      <w:r w:rsidRPr="00843E69">
        <w:rPr>
          <w:rStyle w:val="Uwydatnienie"/>
          <w:rFonts w:ascii="Calibri" w:hAnsi="Calibri" w:cs="Times New Roman"/>
          <w:b/>
          <w:i w:val="0"/>
          <w:sz w:val="24"/>
          <w:szCs w:val="24"/>
        </w:rPr>
        <w:t xml:space="preserve">Rys. </w:t>
      </w:r>
      <w:r w:rsidR="00A35598" w:rsidRPr="00843E69">
        <w:rPr>
          <w:rStyle w:val="Uwydatnienie"/>
          <w:rFonts w:ascii="Calibri" w:hAnsi="Calibri" w:cs="Times New Roman"/>
          <w:b/>
          <w:i w:val="0"/>
          <w:sz w:val="24"/>
          <w:szCs w:val="24"/>
        </w:rPr>
        <w:t>1</w:t>
      </w:r>
      <w:r w:rsidR="00A35598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Największe firmy z sektora </w:t>
      </w:r>
      <w:proofErr w:type="spellStart"/>
      <w:r w:rsidR="00A35598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Oil&amp;Gas</w:t>
      </w:r>
      <w:proofErr w:type="spellEnd"/>
      <w:r w:rsidR="00A35598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obecne na Morzu Północnym*</w:t>
      </w:r>
      <w:r w:rsidR="00FD6127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, </w:t>
      </w:r>
      <w:r w:rsidR="00A35598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Opracowanie: Instytut Studiów Energetycznych; Źródło: Wood Mackenzie, PGNiG </w:t>
      </w:r>
    </w:p>
    <w:p w:rsidR="00843E69" w:rsidRPr="00843E69" w:rsidRDefault="00A35598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0"/>
          <w:szCs w:val="20"/>
        </w:rPr>
      </w:pPr>
      <w:r w:rsidRPr="00843E69">
        <w:rPr>
          <w:rStyle w:val="Uwydatnienie"/>
          <w:rFonts w:ascii="Calibri" w:hAnsi="Calibri" w:cs="Times New Roman"/>
          <w:i w:val="0"/>
          <w:sz w:val="20"/>
          <w:szCs w:val="20"/>
        </w:rPr>
        <w:t xml:space="preserve">*zawiera część złóż na terenie Wielkiej Brytanii, Norwegii, Danii, Holandii </w:t>
      </w:r>
    </w:p>
    <w:p w:rsidR="00843E69" w:rsidRPr="00843E69" w:rsidRDefault="00FE3B9C" w:rsidP="00843E69">
      <w:pPr>
        <w:spacing w:after="0" w:line="240" w:lineRule="auto"/>
        <w:rPr>
          <w:rStyle w:val="Uwydatnienie"/>
          <w:rFonts w:ascii="Calibri" w:hAnsi="Calibri" w:cs="Times New Roman"/>
          <w:sz w:val="20"/>
          <w:szCs w:val="20"/>
        </w:rPr>
      </w:pPr>
      <w:r>
        <w:rPr>
          <w:rStyle w:val="Uwydatnienie"/>
          <w:rFonts w:ascii="Calibri" w:hAnsi="Calibri" w:cs="Times New Roman"/>
          <w:i w:val="0"/>
          <w:sz w:val="20"/>
          <w:szCs w:val="20"/>
        </w:rPr>
        <w:t>*</w:t>
      </w:r>
      <w:r w:rsidR="00843E69" w:rsidRPr="00843E69">
        <w:rPr>
          <w:rStyle w:val="Uwydatnienie"/>
          <w:rFonts w:ascii="Calibri" w:hAnsi="Calibri" w:cs="Times New Roman"/>
          <w:i w:val="0"/>
          <w:sz w:val="20"/>
          <w:szCs w:val="20"/>
        </w:rPr>
        <w:t xml:space="preserve">BOE/d - baryłka ekwiwalentu ropy naftowej dziennie </w:t>
      </w:r>
    </w:p>
    <w:p w:rsidR="00A35598" w:rsidRPr="00843E69" w:rsidRDefault="00A35598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4"/>
          <w:szCs w:val="24"/>
        </w:rPr>
      </w:pP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</w:t>
      </w:r>
    </w:p>
    <w:p w:rsidR="00F50011" w:rsidRPr="00843E69" w:rsidRDefault="00FD6127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4"/>
          <w:szCs w:val="24"/>
        </w:rPr>
      </w:pP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Do zestawienia w roku 2017 r</w:t>
      </w:r>
      <w:r w:rsidR="00843E69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.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należy również dopisać ogłoszone 21 sierpnia przejęcie duńskiego AP </w:t>
      </w:r>
      <w:proofErr w:type="spellStart"/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Moller-Maersk</w:t>
      </w:r>
      <w:proofErr w:type="spellEnd"/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, a dokładniej jego oddziałów odpowiedzialnych za sektor wydobycia </w:t>
      </w:r>
      <w:r w:rsidR="00F50011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(</w:t>
      </w:r>
      <w:proofErr w:type="spellStart"/>
      <w:r w:rsidR="00F50011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Maersk</w:t>
      </w:r>
      <w:proofErr w:type="spellEnd"/>
      <w:r w:rsidR="00F50011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Oil) 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przez francuski Total</w:t>
      </w:r>
      <w:r w:rsidRPr="00843E69">
        <w:rPr>
          <w:rStyle w:val="Odwoanieprzypisudolnego"/>
          <w:rFonts w:ascii="Calibri" w:hAnsi="Calibri" w:cs="Times New Roman"/>
          <w:iCs/>
          <w:sz w:val="24"/>
          <w:szCs w:val="24"/>
        </w:rPr>
        <w:footnoteReference w:id="3"/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. Wartość transakcji opiewa na</w:t>
      </w:r>
      <w:r w:rsidR="00AF205C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łączną kwotę w wysokości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7,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>45 mld dol. i je</w:t>
      </w:r>
      <w:bookmarkStart w:id="0" w:name="_GoBack"/>
      <w:bookmarkEnd w:id="0"/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>st to dla Total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największa inwestycja od 1999 r</w:t>
      </w:r>
      <w:r w:rsidR="00843E69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.</w:t>
      </w:r>
      <w:r w:rsidR="00F50011" w:rsidRPr="00843E69">
        <w:rPr>
          <w:rStyle w:val="Odwoanieprzypisudolnego"/>
          <w:rFonts w:ascii="Calibri" w:hAnsi="Calibri" w:cs="Times New Roman"/>
          <w:iCs/>
          <w:sz w:val="24"/>
          <w:szCs w:val="24"/>
        </w:rPr>
        <w:footnoteReference w:id="4"/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</w:t>
      </w:r>
      <w:r w:rsidR="00F50011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W efekcie, 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to </w:t>
      </w:r>
      <w:r w:rsidR="00F50011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Francuzi stają się drugim wydobywcą surowców z trenów Morza Północnego (Rys. 1) i plasują się za norweskim Statoilem, którego dzienna produkcja z tych terenów wynosi </w:t>
      </w:r>
      <w:r w:rsidR="00F50011" w:rsidRPr="00843E69">
        <w:rPr>
          <w:rStyle w:val="Uwydatnienie"/>
          <w:rFonts w:ascii="Calibri" w:hAnsi="Calibri" w:cs="Times New Roman"/>
          <w:i w:val="0"/>
          <w:sz w:val="24"/>
          <w:szCs w:val="24"/>
        </w:rPr>
        <w:lastRenderedPageBreak/>
        <w:t xml:space="preserve">znacznie ponad 1200 tys. BOE/d, a przed holenderskim Shellem. Przejecie aktywów należących do </w:t>
      </w:r>
      <w:proofErr w:type="spellStart"/>
      <w:r w:rsidR="00F50011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Maersk</w:t>
      </w:r>
      <w:proofErr w:type="spellEnd"/>
      <w:r w:rsidR="00F50011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Oil zwiększy wydobycie o prawie 160 tys. BOE/d (w perspektywie 200 tys. BOE/d do 2020 roku). 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>Jeśli ktoś pomyśli, że to wielka transakcja, że nas nie stać,  to przypomnimy w tym miejscu, że za akcje rafinerii w Możejkach sam PKN ORLEN zapłacił blisko 2,3 mld USA, nie mówiąc o koniecznych (wykonanych) miliardowych „</w:t>
      </w:r>
      <w:proofErr w:type="spellStart"/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>capexowych</w:t>
      </w:r>
      <w:proofErr w:type="spellEnd"/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>” inwestycjach  i pierwszych zyskach praktycznie dopiero po 10 latach!</w:t>
      </w:r>
    </w:p>
    <w:p w:rsidR="00F50011" w:rsidRPr="00843E69" w:rsidRDefault="00F50011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4"/>
          <w:szCs w:val="24"/>
        </w:rPr>
      </w:pPr>
    </w:p>
    <w:p w:rsidR="00437B0D" w:rsidRDefault="00F50011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4"/>
          <w:szCs w:val="24"/>
        </w:rPr>
      </w:pP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Na </w:t>
      </w:r>
      <w:r w:rsidR="00AF205C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trafny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, w naszej ocenie, </w:t>
      </w:r>
      <w:r w:rsidR="00AF205C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komentarz</w:t>
      </w:r>
      <w:r w:rsidR="00AF205C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do transakcji 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TOTAL </w:t>
      </w:r>
      <w:r w:rsidR="00437B0D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/ </w:t>
      </w:r>
      <w:proofErr w:type="spellStart"/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>Maersk</w:t>
      </w:r>
      <w:proofErr w:type="spellEnd"/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</w:t>
      </w:r>
      <w:r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pozwolili sobie dziennikarze Financial Times</w:t>
      </w:r>
      <w:r w:rsidRPr="00843E69">
        <w:rPr>
          <w:rStyle w:val="Odwoanieprzypisudolnego"/>
          <w:rFonts w:ascii="Calibri" w:hAnsi="Calibri" w:cs="Times New Roman"/>
          <w:iCs/>
          <w:sz w:val="24"/>
          <w:szCs w:val="24"/>
        </w:rPr>
        <w:footnoteReference w:id="5"/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>:</w:t>
      </w:r>
      <w:r w:rsidR="00AF205C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>„[…]</w:t>
      </w:r>
      <w:r w:rsidR="00103B67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>Podczas gdy Morze Północne jest postrzegane jako jedno z najbardziej kosztownych i dojrzałych regionów produkujących na świecie, niektóre duże firmy nadal dostrzegają w nim znaczą wartość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>”(tłum. własne).</w:t>
      </w:r>
      <w:r w:rsidR="00103B67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>O</w:t>
      </w:r>
      <w:r w:rsidR="00AF205C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 tym problemie wspominaliśmy już wielokrotnie</w:t>
      </w:r>
      <w:r w:rsidR="00AF205C" w:rsidRPr="00843E69">
        <w:rPr>
          <w:rStyle w:val="Odwoanieprzypisudolnego"/>
          <w:rFonts w:ascii="Calibri" w:hAnsi="Calibri" w:cs="Times New Roman"/>
          <w:iCs/>
          <w:sz w:val="24"/>
          <w:szCs w:val="24"/>
        </w:rPr>
        <w:footnoteReference w:id="6"/>
      </w:r>
      <w:r w:rsidR="00AF205C" w:rsidRPr="00843E69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. </w:t>
      </w:r>
    </w:p>
    <w:p w:rsidR="00437B0D" w:rsidRDefault="00437B0D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4"/>
          <w:szCs w:val="24"/>
        </w:rPr>
      </w:pPr>
    </w:p>
    <w:p w:rsidR="00437B0D" w:rsidRDefault="00C70A86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4"/>
          <w:szCs w:val="24"/>
        </w:rPr>
      </w:pPr>
      <w:r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Ciężko nie oprzeć się wrażeniu, że przy obecnie oscylującej cenie w okolicach 50 dol. za baryłkę ropy naftowej oraz słabych prognozach dotyczących wzrostu cen na światowych giełdach, jest to dość ryzykowne zagranie. </w:t>
      </w:r>
      <w:r w:rsidRPr="00C70A86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Pozwoli </w:t>
      </w:r>
      <w:r w:rsidR="00437B0D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to </w:t>
      </w:r>
      <w:r w:rsidRPr="00C70A86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jednak dodać około 1 mld BOE do rezerw należących do francuskiego Total. 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Czy nie chcielibyśmy się pochwalić takim wyczynem </w:t>
      </w:r>
      <w:r w:rsidR="00437B0D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połączonej </w:t>
      </w:r>
      <w:r w:rsidR="00103B67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grupy polskich </w:t>
      </w:r>
      <w:r w:rsidR="00437B0D">
        <w:rPr>
          <w:rStyle w:val="Uwydatnienie"/>
          <w:rFonts w:ascii="Calibri" w:hAnsi="Calibri" w:cs="Times New Roman"/>
          <w:i w:val="0"/>
          <w:sz w:val="24"/>
          <w:szCs w:val="24"/>
        </w:rPr>
        <w:t>NARODOWYCH CZEMPIONÓW? Czy ciągle komuś brakuje wiedzy, a może odwagi, a może po prostu chęci? A może po prostu lepiej się nie wychylać i czekać na polityczne wskazanie i błogosławieństwo (nie będziemy kolejny raz przywoływać znanego/opisywanego przykładu…</w:t>
      </w:r>
      <w:r w:rsidR="00686D14">
        <w:rPr>
          <w:rStyle w:val="Uwydatnienie"/>
          <w:rFonts w:ascii="Calibri" w:hAnsi="Calibri" w:cs="Times New Roman"/>
          <w:i w:val="0"/>
          <w:sz w:val="24"/>
          <w:szCs w:val="24"/>
        </w:rPr>
        <w:t>)?</w:t>
      </w:r>
    </w:p>
    <w:p w:rsidR="00437B0D" w:rsidRDefault="00437B0D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4"/>
          <w:szCs w:val="24"/>
        </w:rPr>
      </w:pPr>
    </w:p>
    <w:p w:rsidR="00AF205C" w:rsidRDefault="00437B0D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4"/>
          <w:szCs w:val="24"/>
        </w:rPr>
      </w:pPr>
      <w:r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Z niepokojem czekamy </w:t>
      </w:r>
      <w:r w:rsidR="00686D14">
        <w:rPr>
          <w:rStyle w:val="Uwydatnienie"/>
          <w:rFonts w:ascii="Calibri" w:hAnsi="Calibri" w:cs="Times New Roman"/>
          <w:i w:val="0"/>
          <w:sz w:val="24"/>
          <w:szCs w:val="24"/>
        </w:rPr>
        <w:t xml:space="preserve">już prawie dwa lata </w:t>
      </w:r>
      <w:r>
        <w:rPr>
          <w:rStyle w:val="Uwydatnienie"/>
          <w:rFonts w:ascii="Calibri" w:hAnsi="Calibri" w:cs="Times New Roman"/>
          <w:i w:val="0"/>
          <w:sz w:val="24"/>
          <w:szCs w:val="24"/>
        </w:rPr>
        <w:t>na założenia do polskiej polityki energetycznej.</w:t>
      </w:r>
    </w:p>
    <w:p w:rsidR="00437B0D" w:rsidRPr="00437B0D" w:rsidRDefault="00437B0D" w:rsidP="00843E69">
      <w:pPr>
        <w:spacing w:after="0" w:line="240" w:lineRule="auto"/>
        <w:jc w:val="both"/>
        <w:rPr>
          <w:rStyle w:val="Uwydatnienie"/>
          <w:rFonts w:ascii="Calibri" w:hAnsi="Calibri" w:cs="Times New Roman"/>
          <w:i w:val="0"/>
          <w:sz w:val="24"/>
          <w:szCs w:val="24"/>
        </w:rPr>
      </w:pPr>
    </w:p>
    <w:p w:rsidR="00987F0A" w:rsidRDefault="00843E69" w:rsidP="00C70A86">
      <w:pPr>
        <w:pStyle w:val="xmsonormal"/>
        <w:spacing w:before="0" w:beforeAutospacing="0" w:after="0" w:afterAutospacing="0"/>
        <w:jc w:val="both"/>
        <w:rPr>
          <w:rFonts w:ascii="Calibri" w:hAnsi="Calibri"/>
        </w:rPr>
      </w:pPr>
      <w:r w:rsidRPr="00843E69">
        <w:rPr>
          <w:rStyle w:val="Uwydatnienie"/>
          <w:rFonts w:ascii="Calibri" w:hAnsi="Calibri"/>
          <w:i w:val="0"/>
        </w:rPr>
        <w:t>Jedną z polskich spółek obecnych</w:t>
      </w:r>
      <w:r w:rsidR="00AF205C" w:rsidRPr="00843E69">
        <w:rPr>
          <w:rStyle w:val="Uwydatnienie"/>
          <w:rFonts w:ascii="Calibri" w:hAnsi="Calibri"/>
          <w:i w:val="0"/>
        </w:rPr>
        <w:t xml:space="preserve"> </w:t>
      </w:r>
      <w:r w:rsidRPr="00843E69">
        <w:rPr>
          <w:rStyle w:val="Uwydatnienie"/>
          <w:rFonts w:ascii="Calibri" w:hAnsi="Calibri"/>
          <w:i w:val="0"/>
        </w:rPr>
        <w:t xml:space="preserve">na złożach na </w:t>
      </w:r>
      <w:r w:rsidR="00AF205C" w:rsidRPr="00843E69">
        <w:rPr>
          <w:rStyle w:val="Uwydatnienie"/>
          <w:rFonts w:ascii="Calibri" w:hAnsi="Calibri"/>
          <w:i w:val="0"/>
        </w:rPr>
        <w:t xml:space="preserve">Norweskim Szelfie Kontynentalnym jest </w:t>
      </w:r>
      <w:r w:rsidRPr="00843E69">
        <w:rPr>
          <w:rStyle w:val="Uwydatnienie"/>
          <w:rFonts w:ascii="Calibri" w:hAnsi="Calibri"/>
          <w:i w:val="0"/>
        </w:rPr>
        <w:t xml:space="preserve">należąca do PGNiG, spółka PGNiG </w:t>
      </w:r>
      <w:proofErr w:type="spellStart"/>
      <w:r w:rsidRPr="00843E69">
        <w:rPr>
          <w:rStyle w:val="Uwydatnienie"/>
          <w:rFonts w:ascii="Calibri" w:hAnsi="Calibri"/>
          <w:i w:val="0"/>
        </w:rPr>
        <w:t>Upstream</w:t>
      </w:r>
      <w:proofErr w:type="spellEnd"/>
      <w:r w:rsidRPr="00843E69">
        <w:rPr>
          <w:rStyle w:val="Uwydatnienie"/>
          <w:rFonts w:ascii="Calibri" w:hAnsi="Calibri"/>
          <w:i w:val="0"/>
        </w:rPr>
        <w:t xml:space="preserve"> </w:t>
      </w:r>
      <w:proofErr w:type="spellStart"/>
      <w:r w:rsidRPr="00843E69">
        <w:rPr>
          <w:rStyle w:val="Uwydatnienie"/>
          <w:rFonts w:ascii="Calibri" w:hAnsi="Calibri"/>
          <w:i w:val="0"/>
        </w:rPr>
        <w:t>Norway</w:t>
      </w:r>
      <w:proofErr w:type="spellEnd"/>
      <w:r w:rsidRPr="00843E69">
        <w:rPr>
          <w:rStyle w:val="Uwydatnienie"/>
          <w:rFonts w:ascii="Calibri" w:hAnsi="Calibri"/>
          <w:i w:val="0"/>
        </w:rPr>
        <w:t xml:space="preserve"> AS. Po 10 latach obecności w Norwegii (PGNiG rozpoczęło </w:t>
      </w:r>
      <w:r w:rsidR="00C70A86">
        <w:rPr>
          <w:rStyle w:val="Uwydatnienie"/>
          <w:rFonts w:ascii="Calibri" w:hAnsi="Calibri"/>
          <w:i w:val="0"/>
        </w:rPr>
        <w:t xml:space="preserve">tam </w:t>
      </w:r>
      <w:r w:rsidRPr="00843E69">
        <w:rPr>
          <w:rStyle w:val="Uwydatnienie"/>
          <w:rFonts w:ascii="Calibri" w:hAnsi="Calibri"/>
          <w:i w:val="0"/>
        </w:rPr>
        <w:t xml:space="preserve">działalność w 2007 r., po nabyciu od </w:t>
      </w:r>
      <w:proofErr w:type="spellStart"/>
      <w:r w:rsidRPr="00843E69">
        <w:rPr>
          <w:rStyle w:val="Uwydatnienie"/>
          <w:rFonts w:ascii="Calibri" w:hAnsi="Calibri"/>
          <w:i w:val="0"/>
        </w:rPr>
        <w:t>ExxonMobil</w:t>
      </w:r>
      <w:proofErr w:type="spellEnd"/>
      <w:r w:rsidRPr="00843E69">
        <w:rPr>
          <w:rStyle w:val="Uwydatnienie"/>
          <w:rFonts w:ascii="Calibri" w:hAnsi="Calibri"/>
          <w:i w:val="0"/>
        </w:rPr>
        <w:t xml:space="preserve"> udziałów w złożu </w:t>
      </w:r>
      <w:proofErr w:type="spellStart"/>
      <w:r w:rsidRPr="00843E69">
        <w:rPr>
          <w:rStyle w:val="Uwydatnienie"/>
          <w:rFonts w:ascii="Calibri" w:hAnsi="Calibri"/>
          <w:i w:val="0"/>
        </w:rPr>
        <w:t>Skarv</w:t>
      </w:r>
      <w:proofErr w:type="spellEnd"/>
      <w:r w:rsidRPr="00843E69">
        <w:rPr>
          <w:rStyle w:val="Uwydatnienie"/>
          <w:rFonts w:ascii="Calibri" w:hAnsi="Calibri"/>
          <w:i w:val="0"/>
        </w:rPr>
        <w:t>.,  uruchomienie wydobycia nastąpiło w 2012 r.) spółka posiada udziały w 19 koncesja</w:t>
      </w:r>
      <w:r w:rsidR="00C70A86">
        <w:rPr>
          <w:rStyle w:val="Uwydatnienie"/>
          <w:rFonts w:ascii="Calibri" w:hAnsi="Calibri"/>
          <w:i w:val="0"/>
        </w:rPr>
        <w:t xml:space="preserve">ch poszukiwawczo-wydobywczych </w:t>
      </w:r>
      <w:r w:rsidRPr="00843E69">
        <w:rPr>
          <w:rStyle w:val="Uwydatnienie"/>
          <w:rFonts w:ascii="Calibri" w:hAnsi="Calibri"/>
          <w:i w:val="0"/>
        </w:rPr>
        <w:t>(w tym w trzech jako operator)</w:t>
      </w:r>
      <w:r w:rsidR="00C70A86">
        <w:rPr>
          <w:rStyle w:val="Uwydatnienie"/>
          <w:rFonts w:ascii="Calibri" w:hAnsi="Calibri"/>
          <w:i w:val="0"/>
        </w:rPr>
        <w:t xml:space="preserve">. </w:t>
      </w:r>
      <w:r w:rsidRPr="00843E69">
        <w:rPr>
          <w:rFonts w:ascii="Calibri" w:hAnsi="Calibri"/>
        </w:rPr>
        <w:t>Przewidywana wielkość produkcji ze złóż norweskich w 2017 r. to 571 tys. to</w:t>
      </w:r>
      <w:r>
        <w:rPr>
          <w:rFonts w:ascii="Calibri" w:hAnsi="Calibri"/>
        </w:rPr>
        <w:t>n ekwiwalentu ropy naftowej i 0,5 mld m</w:t>
      </w:r>
      <w:r w:rsidRPr="00843E69"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 xml:space="preserve"> gazu ziemnego</w:t>
      </w:r>
      <w:r w:rsidR="00C70A86">
        <w:rPr>
          <w:rStyle w:val="Odwoanieprzypisudolnego"/>
          <w:rFonts w:ascii="Calibri" w:hAnsi="Calibri"/>
        </w:rPr>
        <w:footnoteReference w:id="7"/>
      </w:r>
      <w:r>
        <w:rPr>
          <w:rFonts w:ascii="Calibri" w:hAnsi="Calibri"/>
        </w:rPr>
        <w:t>. Daje</w:t>
      </w:r>
      <w:r w:rsidR="00437B0D">
        <w:rPr>
          <w:rFonts w:ascii="Calibri" w:hAnsi="Calibri"/>
        </w:rPr>
        <w:t xml:space="preserve"> to łącznie około 21200</w:t>
      </w:r>
      <w:r>
        <w:rPr>
          <w:rFonts w:ascii="Calibri" w:hAnsi="Calibri"/>
        </w:rPr>
        <w:t xml:space="preserve"> BOE/d (odpowiednio 12400 BOE</w:t>
      </w:r>
      <w:r w:rsidRPr="00843E69">
        <w:rPr>
          <w:rFonts w:ascii="Calibri" w:hAnsi="Calibri"/>
        </w:rPr>
        <w:t>/d</w:t>
      </w:r>
      <w:r w:rsidR="00437B0D">
        <w:rPr>
          <w:rFonts w:ascii="Calibri" w:hAnsi="Calibri"/>
        </w:rPr>
        <w:t xml:space="preserve"> i 8800</w:t>
      </w:r>
      <w:r>
        <w:rPr>
          <w:rFonts w:ascii="Calibri" w:hAnsi="Calibri"/>
        </w:rPr>
        <w:t xml:space="preserve"> BOE</w:t>
      </w:r>
      <w:r w:rsidRPr="00843E69">
        <w:rPr>
          <w:rFonts w:ascii="Calibri" w:hAnsi="Calibri"/>
        </w:rPr>
        <w:t>/d</w:t>
      </w:r>
      <w:r>
        <w:rPr>
          <w:rFonts w:ascii="Calibri" w:hAnsi="Calibri"/>
        </w:rPr>
        <w:t xml:space="preserve">) </w:t>
      </w:r>
      <w:r w:rsidRPr="00686D14">
        <w:rPr>
          <w:rFonts w:ascii="Calibri" w:hAnsi="Calibri"/>
          <w:u w:val="single"/>
        </w:rPr>
        <w:t xml:space="preserve">i w porównaniu do </w:t>
      </w:r>
      <w:r w:rsidR="00C70A86" w:rsidRPr="00686D14">
        <w:rPr>
          <w:rFonts w:ascii="Calibri" w:hAnsi="Calibri"/>
          <w:u w:val="single"/>
        </w:rPr>
        <w:t xml:space="preserve">poziomu wydobycia </w:t>
      </w:r>
      <w:r w:rsidRPr="00686D14">
        <w:rPr>
          <w:rFonts w:ascii="Calibri" w:hAnsi="Calibri"/>
          <w:u w:val="single"/>
        </w:rPr>
        <w:t>elity jest marginalne</w:t>
      </w:r>
      <w:r w:rsidR="00437B0D">
        <w:rPr>
          <w:rFonts w:ascii="Calibri" w:hAnsi="Calibri"/>
        </w:rPr>
        <w:t xml:space="preserve">. </w:t>
      </w:r>
      <w:r w:rsidR="00906B85">
        <w:rPr>
          <w:rFonts w:ascii="Calibri" w:hAnsi="Calibri"/>
        </w:rPr>
        <w:t>(Rys. 1)</w:t>
      </w:r>
      <w:r>
        <w:rPr>
          <w:rFonts w:ascii="Calibri" w:hAnsi="Calibri"/>
        </w:rPr>
        <w:t xml:space="preserve">. </w:t>
      </w:r>
      <w:r w:rsidR="00C70A86">
        <w:rPr>
          <w:rFonts w:ascii="Calibri" w:hAnsi="Calibri"/>
        </w:rPr>
        <w:t xml:space="preserve">Pozwala jednak uczestniczyć grupie PGNiG w sektorze </w:t>
      </w:r>
      <w:proofErr w:type="spellStart"/>
      <w:r w:rsidR="00C70A86">
        <w:rPr>
          <w:rFonts w:ascii="Calibri" w:hAnsi="Calibri"/>
        </w:rPr>
        <w:t>upstream</w:t>
      </w:r>
      <w:proofErr w:type="spellEnd"/>
      <w:r w:rsidR="00C70A86">
        <w:rPr>
          <w:rFonts w:ascii="Calibri" w:hAnsi="Calibri"/>
        </w:rPr>
        <w:t xml:space="preserve">, zbierać doświadczenie i przysłowiowo patrzeć na ręce silnej konkurencji. </w:t>
      </w:r>
    </w:p>
    <w:p w:rsidR="00437B0D" w:rsidRDefault="00437B0D" w:rsidP="00C70A86">
      <w:pPr>
        <w:pStyle w:val="xmsonormal"/>
        <w:spacing w:before="0" w:beforeAutospacing="0" w:after="0" w:afterAutospacing="0"/>
        <w:jc w:val="both"/>
        <w:rPr>
          <w:rFonts w:ascii="Calibri" w:hAnsi="Calibri"/>
        </w:rPr>
      </w:pPr>
    </w:p>
    <w:p w:rsidR="00686D14" w:rsidRDefault="00437B0D" w:rsidP="00C70A86">
      <w:pPr>
        <w:pStyle w:val="xmsonormal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To dlaczego PGNiG, dlaczego Narodowi Czempioni nie inwestują w złoża amerykańskie? Przeszkadza im w tym</w:t>
      </w:r>
      <w:r w:rsidR="00686D14">
        <w:rPr>
          <w:rFonts w:ascii="Calibri" w:hAnsi="Calibri"/>
        </w:rPr>
        <w:t xml:space="preserve">, w naszej ocenie, </w:t>
      </w:r>
      <w:r>
        <w:rPr>
          <w:rFonts w:ascii="Calibri" w:hAnsi="Calibri"/>
        </w:rPr>
        <w:t xml:space="preserve"> bardzo silna pozycja dominująca na rynku lokalnym, regulacje, które nie wymuszają jakiegokolwiek ryzyka i brak wizji rządzących co do przyszłości polskiej energetyki. Brak im </w:t>
      </w:r>
      <w:r w:rsidR="00686D14">
        <w:rPr>
          <w:rFonts w:ascii="Calibri" w:hAnsi="Calibri"/>
        </w:rPr>
        <w:t>„</w:t>
      </w:r>
      <w:r>
        <w:rPr>
          <w:rFonts w:ascii="Calibri" w:hAnsi="Calibri"/>
        </w:rPr>
        <w:t>Mickiewicza</w:t>
      </w:r>
      <w:r w:rsidR="00686D14">
        <w:rPr>
          <w:rFonts w:ascii="Calibri" w:hAnsi="Calibri"/>
        </w:rPr>
        <w:t>”</w:t>
      </w:r>
      <w:r>
        <w:rPr>
          <w:rFonts w:ascii="Calibri" w:hAnsi="Calibri"/>
        </w:rPr>
        <w:t>, który pokazałby jak „nad poziomy wzlatywać”, brak im wizjonera i lidera, który stanąłby</w:t>
      </w:r>
      <w:r w:rsidR="00686D14">
        <w:rPr>
          <w:rFonts w:ascii="Calibri" w:hAnsi="Calibri"/>
        </w:rPr>
        <w:t xml:space="preserve"> nad lokalnymi partykularyzmami.</w:t>
      </w:r>
    </w:p>
    <w:p w:rsidR="00437B0D" w:rsidRPr="00843E69" w:rsidRDefault="00686D14" w:rsidP="00C70A86">
      <w:pPr>
        <w:pStyle w:val="xmsonormal"/>
        <w:spacing w:before="0" w:beforeAutospacing="0" w:after="0" w:afterAutospacing="0"/>
        <w:jc w:val="both"/>
        <w:rPr>
          <w:rFonts w:ascii="Calibri" w:hAnsi="Calibri"/>
          <w:i/>
        </w:rPr>
      </w:pPr>
      <w:r>
        <w:rPr>
          <w:rFonts w:ascii="Calibri" w:hAnsi="Calibri"/>
        </w:rPr>
        <w:t>A może brak im Właściciela?</w:t>
      </w:r>
    </w:p>
    <w:sectPr w:rsidR="00437B0D" w:rsidRPr="0084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20" w:rsidRDefault="00517A20" w:rsidP="00987F0A">
      <w:pPr>
        <w:spacing w:after="0" w:line="240" w:lineRule="auto"/>
      </w:pPr>
      <w:r>
        <w:separator/>
      </w:r>
    </w:p>
  </w:endnote>
  <w:endnote w:type="continuationSeparator" w:id="0">
    <w:p w:rsidR="00517A20" w:rsidRDefault="00517A20" w:rsidP="0098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20" w:rsidRDefault="00517A20" w:rsidP="00987F0A">
      <w:pPr>
        <w:spacing w:after="0" w:line="240" w:lineRule="auto"/>
      </w:pPr>
      <w:r>
        <w:separator/>
      </w:r>
    </w:p>
  </w:footnote>
  <w:footnote w:type="continuationSeparator" w:id="0">
    <w:p w:rsidR="00517A20" w:rsidRDefault="00517A20" w:rsidP="00987F0A">
      <w:pPr>
        <w:spacing w:after="0" w:line="240" w:lineRule="auto"/>
      </w:pPr>
      <w:r>
        <w:continuationSeparator/>
      </w:r>
    </w:p>
  </w:footnote>
  <w:footnote w:id="1">
    <w:p w:rsidR="002831EA" w:rsidRPr="002831EA" w:rsidRDefault="00987F0A" w:rsidP="00987F0A">
      <w:pPr>
        <w:pStyle w:val="Tekstprzypisudolnego"/>
        <w:jc w:val="both"/>
        <w:rPr>
          <w:rFonts w:ascii="Calibri" w:hAnsi="Calibri"/>
        </w:rPr>
      </w:pPr>
      <w:r w:rsidRPr="002831EA">
        <w:rPr>
          <w:rStyle w:val="Odwoanieprzypisudolnego"/>
          <w:rFonts w:ascii="Calibri" w:hAnsi="Calibri"/>
        </w:rPr>
        <w:footnoteRef/>
      </w:r>
      <w:r w:rsidRPr="002831EA">
        <w:rPr>
          <w:rFonts w:ascii="Calibri" w:hAnsi="Calibri"/>
        </w:rPr>
        <w:t xml:space="preserve"> Sikora M., „Sikora : Rok 2016 to czas na inwestycje PGNiG w amerykański gaz łupkowy”, Biznes Alert, 7.01.2016  - </w:t>
      </w:r>
      <w:hyperlink r:id="rId1" w:history="1">
        <w:r w:rsidR="002831EA" w:rsidRPr="00C2149B">
          <w:rPr>
            <w:rStyle w:val="Hipercze"/>
            <w:rFonts w:ascii="Calibri" w:hAnsi="Calibri"/>
          </w:rPr>
          <w:t>http://biznesalert.pl/sikora-rok-2016-to-czas-na-inwestycje-pgnig-w-amerykanski-gaz-lupkowy/</w:t>
        </w:r>
      </w:hyperlink>
    </w:p>
  </w:footnote>
  <w:footnote w:id="2">
    <w:p w:rsidR="002831EA" w:rsidRPr="002831EA" w:rsidRDefault="002831EA">
      <w:pPr>
        <w:pStyle w:val="Tekstprzypisudolnego"/>
      </w:pPr>
      <w:r w:rsidRPr="002831EA">
        <w:rPr>
          <w:rStyle w:val="Odwoanieprzypisudolnego"/>
        </w:rPr>
        <w:footnoteRef/>
      </w:r>
      <w:r w:rsidRPr="002831EA">
        <w:t xml:space="preserve"> </w:t>
      </w:r>
      <w:hyperlink r:id="rId2" w:history="1">
        <w:r w:rsidRPr="00C2149B">
          <w:rPr>
            <w:rStyle w:val="Hipercze"/>
            <w:rFonts w:ascii="Calibri" w:hAnsi="Calibri"/>
          </w:rPr>
          <w:t>http://www.reuters.com/article/us-bhp-billiton-results-idUSKCN1B12GS?il=0</w:t>
        </w:r>
      </w:hyperlink>
    </w:p>
  </w:footnote>
  <w:footnote w:id="3">
    <w:p w:rsidR="00FD6127" w:rsidRDefault="00FD61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C2149B">
          <w:rPr>
            <w:rStyle w:val="Hipercze"/>
          </w:rPr>
          <w:t>https://www.ft.com/content/3876ba0f-8773-385c-8b87-d8479a3cf9b2</w:t>
        </w:r>
      </w:hyperlink>
    </w:p>
  </w:footnote>
  <w:footnote w:id="4">
    <w:p w:rsidR="00843E69" w:rsidRDefault="00F500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="00843E69" w:rsidRPr="00C2149B">
          <w:rPr>
            <w:rStyle w:val="Hipercze"/>
          </w:rPr>
          <w:t>https://www.bloomberg.com/news/articles/2017-08-21/total-snubs-expensive-u-s-shale-with-north-sea-focused-deal</w:t>
        </w:r>
      </w:hyperlink>
    </w:p>
  </w:footnote>
  <w:footnote w:id="5">
    <w:p w:rsidR="00F50011" w:rsidRPr="00C70A86" w:rsidRDefault="00F50011" w:rsidP="00C70A86">
      <w:pPr>
        <w:spacing w:after="0" w:line="240" w:lineRule="auto"/>
        <w:jc w:val="both"/>
        <w:rPr>
          <w:sz w:val="20"/>
          <w:szCs w:val="20"/>
        </w:rPr>
      </w:pPr>
      <w:r w:rsidRPr="00C70A86">
        <w:rPr>
          <w:rStyle w:val="Odwoanieprzypisudolnego"/>
          <w:sz w:val="20"/>
          <w:szCs w:val="20"/>
        </w:rPr>
        <w:footnoteRef/>
      </w:r>
      <w:hyperlink r:id="rId5" w:history="1">
        <w:r w:rsidRPr="00C70A86">
          <w:rPr>
            <w:rStyle w:val="Hipercze"/>
            <w:sz w:val="20"/>
            <w:szCs w:val="20"/>
          </w:rPr>
          <w:t>https://www.ft.com/content/d02dd976-878c-11e7-bf50-e1c239b45787</w:t>
        </w:r>
      </w:hyperlink>
    </w:p>
  </w:footnote>
  <w:footnote w:id="6">
    <w:p w:rsidR="00AF205C" w:rsidRPr="00C70A86" w:rsidRDefault="00AF205C" w:rsidP="00C70A86">
      <w:pPr>
        <w:pStyle w:val="Tekstprzypisudolnego"/>
        <w:jc w:val="both"/>
        <w:rPr>
          <w:lang w:val="fr-FR"/>
        </w:rPr>
      </w:pPr>
      <w:r w:rsidRPr="00C70A86">
        <w:rPr>
          <w:rStyle w:val="Odwoanieprzypisudolnego"/>
        </w:rPr>
        <w:footnoteRef/>
      </w:r>
      <w:r w:rsidRPr="00C70A86">
        <w:rPr>
          <w:lang w:val="fr-FR"/>
        </w:rPr>
        <w:t xml:space="preserve"> Sikora A., Sikora M., „Quo vadimus?”, </w:t>
      </w:r>
      <w:r w:rsidRPr="00C70A86">
        <w:rPr>
          <w:lang w:val="fr-FR"/>
        </w:rPr>
        <w:t xml:space="preserve">CIRE, 27.02.2017 – </w:t>
      </w:r>
      <w:hyperlink r:id="rId6" w:history="1">
        <w:r w:rsidRPr="00C70A86">
          <w:rPr>
            <w:rStyle w:val="Hipercze"/>
            <w:lang w:val="fr-FR"/>
          </w:rPr>
          <w:t>http://cire.pl/item,141968,13,0,0,0,0,0,quo-vadimus-.html</w:t>
        </w:r>
      </w:hyperlink>
    </w:p>
  </w:footnote>
  <w:footnote w:id="7">
    <w:p w:rsidR="00C70A86" w:rsidRPr="00FE3B9C" w:rsidRDefault="00C70A86" w:rsidP="00C70A86">
      <w:pPr>
        <w:pStyle w:val="xmsonormal"/>
        <w:spacing w:before="0" w:beforeAutospacing="0" w:after="0" w:afterAutospacing="0"/>
        <w:jc w:val="both"/>
        <w:rPr>
          <w:rFonts w:ascii="Calibri" w:hAnsi="Calibri"/>
          <w:lang w:val="fr-FR"/>
        </w:rPr>
      </w:pPr>
      <w:r w:rsidRPr="00C70A86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C70A86">
        <w:rPr>
          <w:rFonts w:asciiTheme="minorHAnsi" w:hAnsiTheme="minorHAnsi"/>
          <w:sz w:val="20"/>
          <w:szCs w:val="20"/>
          <w:lang w:val="fr-FR"/>
        </w:rPr>
        <w:t xml:space="preserve"> </w:t>
      </w:r>
      <w:hyperlink r:id="rId7" w:tgtFrame="_blank" w:history="1">
        <w:r w:rsidRPr="00C70A86">
          <w:rPr>
            <w:rStyle w:val="Hipercze"/>
            <w:rFonts w:asciiTheme="minorHAnsi" w:hAnsiTheme="minorHAnsi"/>
            <w:sz w:val="20"/>
            <w:szCs w:val="20"/>
            <w:lang w:val="fr-FR"/>
          </w:rPr>
          <w:t>https://www.forbes.pl/wiadomosci/pgnig-rozpoczelo-wydobycie-gazu-ze-zloza-gina-krog/pp7lm18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69"/>
    <w:rsid w:val="00103B67"/>
    <w:rsid w:val="0015055B"/>
    <w:rsid w:val="00153DE2"/>
    <w:rsid w:val="001E4616"/>
    <w:rsid w:val="00237774"/>
    <w:rsid w:val="00254E95"/>
    <w:rsid w:val="002831EA"/>
    <w:rsid w:val="0031267A"/>
    <w:rsid w:val="00325810"/>
    <w:rsid w:val="00343C64"/>
    <w:rsid w:val="004304F6"/>
    <w:rsid w:val="00437B0D"/>
    <w:rsid w:val="004F657A"/>
    <w:rsid w:val="00517A20"/>
    <w:rsid w:val="005465AA"/>
    <w:rsid w:val="00686D14"/>
    <w:rsid w:val="00746766"/>
    <w:rsid w:val="00843E69"/>
    <w:rsid w:val="00906B85"/>
    <w:rsid w:val="00954C2E"/>
    <w:rsid w:val="00987F0A"/>
    <w:rsid w:val="00A35598"/>
    <w:rsid w:val="00AF205C"/>
    <w:rsid w:val="00AF4773"/>
    <w:rsid w:val="00B24615"/>
    <w:rsid w:val="00C70A86"/>
    <w:rsid w:val="00D663D4"/>
    <w:rsid w:val="00DA1A80"/>
    <w:rsid w:val="00F50011"/>
    <w:rsid w:val="00FD6127"/>
    <w:rsid w:val="00FE1869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FE1869"/>
  </w:style>
  <w:style w:type="character" w:styleId="Uwydatnienie">
    <w:name w:val="Emphasis"/>
    <w:basedOn w:val="Domylnaczcionkaakapitu"/>
    <w:uiPriority w:val="20"/>
    <w:qFormat/>
    <w:rsid w:val="00FE1869"/>
    <w:rPr>
      <w:i/>
      <w:iCs/>
    </w:rPr>
  </w:style>
  <w:style w:type="character" w:styleId="Hipercze">
    <w:name w:val="Hyperlink"/>
    <w:basedOn w:val="Domylnaczcionkaakapitu"/>
    <w:uiPriority w:val="99"/>
    <w:unhideWhenUsed/>
    <w:rsid w:val="00FE186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4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343C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ny"/>
    <w:rsid w:val="0098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7F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7F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7F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FE1869"/>
  </w:style>
  <w:style w:type="character" w:styleId="Uwydatnienie">
    <w:name w:val="Emphasis"/>
    <w:basedOn w:val="Domylnaczcionkaakapitu"/>
    <w:uiPriority w:val="20"/>
    <w:qFormat/>
    <w:rsid w:val="00FE1869"/>
    <w:rPr>
      <w:i/>
      <w:iCs/>
    </w:rPr>
  </w:style>
  <w:style w:type="character" w:styleId="Hipercze">
    <w:name w:val="Hyperlink"/>
    <w:basedOn w:val="Domylnaczcionkaakapitu"/>
    <w:uiPriority w:val="99"/>
    <w:unhideWhenUsed/>
    <w:rsid w:val="00FE186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4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343C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ny"/>
    <w:rsid w:val="0098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7F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7F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7F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com/content/3876ba0f-8773-385c-8b87-d8479a3cf9b2" TargetMode="External"/><Relationship Id="rId7" Type="http://schemas.openxmlformats.org/officeDocument/2006/relationships/hyperlink" Target="https://www.forbes.pl/wiadomosci/pgnig-rozpoczelo-wydobycie-gazu-ze-zloza-gina-krog/pp7lm18" TargetMode="External"/><Relationship Id="rId2" Type="http://schemas.openxmlformats.org/officeDocument/2006/relationships/hyperlink" Target="http://www.reuters.com/article/us-bhp-billiton-results-idUSKCN1B12GS?il=0" TargetMode="External"/><Relationship Id="rId1" Type="http://schemas.openxmlformats.org/officeDocument/2006/relationships/hyperlink" Target="http://biznesalert.pl/sikora-rok-2016-to-czas-na-inwestycje-pgnig-w-amerykanski-gaz-lupkowy/" TargetMode="External"/><Relationship Id="rId6" Type="http://schemas.openxmlformats.org/officeDocument/2006/relationships/hyperlink" Target="http://cire.pl/item,141968,13,0,0,0,0,0,quo-vadimus-.html" TargetMode="External"/><Relationship Id="rId5" Type="http://schemas.openxmlformats.org/officeDocument/2006/relationships/hyperlink" Target="https://www.ft.com/content/d02dd976-878c-11e7-bf50-e1c239b45787" TargetMode="External"/><Relationship Id="rId4" Type="http://schemas.openxmlformats.org/officeDocument/2006/relationships/hyperlink" Target="https://www.bloomberg.com/news/articles/2017-08-21/total-snubs-expensive-u-s-shale-with-north-sea-focused-de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F3E6-0459-4CC2-A8F6-A016722F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Sikora</dc:creator>
  <cp:lastModifiedBy>as</cp:lastModifiedBy>
  <cp:revision>5</cp:revision>
  <cp:lastPrinted>2017-08-23T15:48:00Z</cp:lastPrinted>
  <dcterms:created xsi:type="dcterms:W3CDTF">2017-08-23T15:19:00Z</dcterms:created>
  <dcterms:modified xsi:type="dcterms:W3CDTF">2017-08-23T15:48:00Z</dcterms:modified>
</cp:coreProperties>
</file>